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napToGrid/>
        <w:spacing w:line="240" w:lineRule="auto"/>
        <w:jc w:val="center"/>
        <w:rPr>
          <w:rFonts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N/>
        <w:bidi w:val="0"/>
        <w:snapToGrid/>
        <w:spacing w:line="240" w:lineRule="auto"/>
        <w:rPr>
          <w:rFonts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N/>
        <w:bidi w:val="0"/>
        <w:snapToGrid/>
        <w:spacing w:line="240" w:lineRule="auto"/>
        <w:jc w:val="center"/>
        <w:rPr>
          <w:rFonts w:hint="eastAsia" w:asciiTheme="minorEastAsia" w:hAnsiTheme="minorEastAsia" w:eastAsiaTheme="minorEastAsia" w:cstheme="minorEastAsia"/>
          <w:color w:val="000000"/>
          <w:kern w:val="0"/>
          <w:sz w:val="44"/>
          <w:szCs w:val="44"/>
          <w:lang w:eastAsia="zh-CN" w:bidi="ar"/>
        </w:rPr>
      </w:pPr>
      <w:r>
        <w:rPr>
          <w:rFonts w:hint="eastAsia" w:asciiTheme="minorEastAsia" w:hAnsiTheme="minorEastAsia" w:eastAsiaTheme="minorEastAsia" w:cstheme="minorEastAsia"/>
          <w:color w:val="000000"/>
          <w:kern w:val="0"/>
          <w:sz w:val="44"/>
          <w:szCs w:val="44"/>
          <w:lang w:eastAsia="zh-CN" w:bidi="ar"/>
        </w:rPr>
        <w:t>国家</w:t>
      </w:r>
      <w:r>
        <w:rPr>
          <w:rFonts w:hint="eastAsia" w:asciiTheme="minorEastAsia" w:hAnsiTheme="minorEastAsia" w:eastAsiaTheme="minorEastAsia" w:cstheme="minorEastAsia"/>
          <w:color w:val="000000"/>
          <w:kern w:val="0"/>
          <w:sz w:val="44"/>
          <w:szCs w:val="44"/>
          <w:lang w:bidi="ar"/>
        </w:rPr>
        <w:t>以工代赈</w:t>
      </w:r>
      <w:r>
        <w:rPr>
          <w:rFonts w:hint="eastAsia" w:asciiTheme="minorEastAsia" w:hAnsiTheme="minorEastAsia" w:eastAsiaTheme="minorEastAsia" w:cstheme="minorEastAsia"/>
          <w:color w:val="000000"/>
          <w:kern w:val="0"/>
          <w:sz w:val="44"/>
          <w:szCs w:val="44"/>
          <w:lang w:eastAsia="zh-CN" w:bidi="ar"/>
        </w:rPr>
        <w:t>管理办法</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(2022年12月29日经国家发展改革委第25次委务会通过</w:t>
      </w:r>
      <w:r>
        <w:rPr>
          <w:rFonts w:hint="eastAsia" w:ascii="楷体_GB2312" w:hAnsi="楷体_GB2312" w:eastAsia="楷体_GB2312" w:cs="楷体_GB2312"/>
          <w:color w:val="333333"/>
          <w:sz w:val="32"/>
          <w:szCs w:val="32"/>
          <w:shd w:val="clear" w:color="auto" w:fill="FFFFFF"/>
          <w:lang w:val="en-US" w:eastAsia="zh-CN"/>
        </w:rPr>
        <w:t>　</w:t>
      </w:r>
      <w:r>
        <w:rPr>
          <w:rFonts w:hint="eastAsia" w:ascii="楷体_GB2312" w:hAnsi="楷体_GB2312" w:eastAsia="楷体_GB2312" w:cs="楷体_GB2312"/>
          <w:color w:val="333333"/>
          <w:sz w:val="32"/>
          <w:szCs w:val="32"/>
          <w:shd w:val="clear" w:color="auto" w:fill="FFFFFF"/>
        </w:rPr>
        <w:t>2023年1月</w:t>
      </w:r>
      <w:r>
        <w:rPr>
          <w:rFonts w:hint="eastAsia" w:ascii="楷体_GB2312" w:hAnsi="楷体_GB2312" w:eastAsia="楷体_GB2312" w:cs="楷体_GB2312"/>
          <w:color w:val="333333"/>
          <w:sz w:val="32"/>
          <w:szCs w:val="32"/>
          <w:shd w:val="clear" w:color="auto" w:fill="FFFFFF"/>
          <w:lang w:val="en-US" w:eastAsia="zh-CN"/>
        </w:rPr>
        <w:t>10</w:t>
      </w:r>
      <w:r>
        <w:rPr>
          <w:rFonts w:hint="eastAsia" w:ascii="楷体_GB2312" w:hAnsi="楷体_GB2312" w:eastAsia="楷体_GB2312" w:cs="楷体_GB2312"/>
          <w:color w:val="333333"/>
          <w:sz w:val="32"/>
          <w:szCs w:val="32"/>
          <w:shd w:val="clear" w:color="auto" w:fill="FFFFFF"/>
        </w:rPr>
        <w:t>日国家发展改革委令第</w:t>
      </w:r>
      <w:r>
        <w:rPr>
          <w:rFonts w:hint="eastAsia" w:ascii="楷体_GB2312" w:hAnsi="楷体_GB2312" w:eastAsia="楷体_GB2312" w:cs="楷体_GB2312"/>
          <w:color w:val="333333"/>
          <w:sz w:val="32"/>
          <w:szCs w:val="32"/>
          <w:shd w:val="clear" w:color="auto" w:fill="FFFFFF"/>
          <w:lang w:val="en-US" w:eastAsia="zh-CN"/>
        </w:rPr>
        <w:t>57</w:t>
      </w:r>
      <w:r>
        <w:rPr>
          <w:rFonts w:hint="eastAsia" w:ascii="楷体_GB2312" w:hAnsi="楷体_GB2312" w:eastAsia="楷体_GB2312" w:cs="楷体_GB2312"/>
          <w:color w:val="333333"/>
          <w:sz w:val="32"/>
          <w:szCs w:val="32"/>
          <w:shd w:val="clear" w:color="auto" w:fill="FFFFFF"/>
        </w:rPr>
        <w:t>号公布</w:t>
      </w:r>
      <w:r>
        <w:rPr>
          <w:rFonts w:hint="eastAsia" w:ascii="楷体_GB2312" w:hAnsi="楷体_GB2312" w:eastAsia="楷体_GB2312" w:cs="楷体_GB2312"/>
          <w:color w:val="333333"/>
          <w:sz w:val="32"/>
          <w:szCs w:val="32"/>
          <w:shd w:val="clear" w:color="auto" w:fill="FFFFFF"/>
          <w:lang w:val="en-US" w:eastAsia="zh-CN"/>
        </w:rPr>
        <w:t>　</w:t>
      </w:r>
      <w:r>
        <w:rPr>
          <w:rFonts w:hint="eastAsia" w:ascii="楷体_GB2312" w:hAnsi="楷体_GB2312" w:eastAsia="楷体_GB2312" w:cs="楷体_GB2312"/>
          <w:color w:val="333333"/>
          <w:sz w:val="32"/>
          <w:szCs w:val="32"/>
          <w:shd w:val="clear" w:color="auto" w:fill="FFFFFF"/>
        </w:rPr>
        <w:t>自2023年3月1日起施行)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333333"/>
          <w:sz w:val="32"/>
          <w:szCs w:val="32"/>
          <w:shd w:val="clear" w:color="auto" w:fill="FFFFFF"/>
          <w:lang w:val="zh-CN"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《国家以工代赈管理办法》已经2022年12月29日第25次委务会议审议通过，现予公布，自2023年3月1日起施行。</w:t>
      </w:r>
    </w:p>
    <w:p>
      <w:pPr>
        <w:keepNext w:val="0"/>
        <w:keepLines w:val="0"/>
        <w:pageBreakBefore w:val="0"/>
        <w:widowControl w:val="0"/>
        <w:kinsoku/>
        <w:wordWrap/>
        <w:overflowPunct/>
        <w:topLinePunct w:val="0"/>
        <w:autoSpaceDN/>
        <w:bidi w:val="0"/>
        <w:snapToGrid/>
        <w:spacing w:line="240" w:lineRule="auto"/>
        <w:ind w:firstLine="640" w:firstLineChars="200"/>
        <w:jc w:val="righ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N/>
        <w:bidi w:val="0"/>
        <w:snapToGrid/>
        <w:spacing w:line="240" w:lineRule="auto"/>
        <w:ind w:left="0" w:leftChars="0" w:firstLine="0" w:firstLineChars="0"/>
        <w:jc w:val="right"/>
        <w:rPr>
          <w:rFonts w:hint="default" w:ascii="仿宋_GB2312" w:hAnsi="仿宋_GB2312" w:eastAsia="仿宋_GB2312" w:cs="仿宋_GB2312"/>
          <w:color w:val="333333"/>
          <w:sz w:val="32"/>
          <w:szCs w:val="32"/>
          <w:shd w:val="clear" w:color="auto" w:fill="FFFFFF"/>
          <w:lang w:val="zh-CN" w:eastAsia="zh-CN"/>
        </w:rPr>
      </w:pPr>
      <w:r>
        <w:rPr>
          <w:rFonts w:hint="default" w:ascii="仿宋_GB2312" w:hAnsi="仿宋_GB2312" w:eastAsia="仿宋_GB2312" w:cs="仿宋_GB2312"/>
          <w:color w:val="333333"/>
          <w:sz w:val="32"/>
          <w:szCs w:val="32"/>
          <w:shd w:val="clear" w:color="auto" w:fill="FFFFFF"/>
          <w:lang w:val="en-US" w:eastAsia="zh-CN"/>
        </w:rPr>
        <w:t>20</w:t>
      </w:r>
      <w:r>
        <w:rPr>
          <w:rFonts w:hint="eastAsia" w:ascii="仿宋_GB2312" w:hAnsi="仿宋_GB2312" w:eastAsia="仿宋_GB2312" w:cs="仿宋_GB2312"/>
          <w:color w:val="333333"/>
          <w:sz w:val="32"/>
          <w:szCs w:val="32"/>
          <w:shd w:val="clear" w:color="auto" w:fill="FFFFFF"/>
          <w:lang w:val="en-US" w:eastAsia="zh-CN"/>
        </w:rPr>
        <w:t>23</w:t>
      </w:r>
      <w:r>
        <w:rPr>
          <w:rFonts w:hint="default" w:ascii="仿宋_GB2312" w:hAnsi="仿宋_GB2312" w:eastAsia="仿宋_GB2312" w:cs="仿宋_GB2312"/>
          <w:color w:val="333333"/>
          <w:sz w:val="32"/>
          <w:szCs w:val="32"/>
          <w:shd w:val="clear" w:color="auto" w:fill="FFFFFF"/>
          <w:lang w:val="en-US" w:eastAsia="zh-CN"/>
        </w:rPr>
        <w:t>年</w:t>
      </w:r>
      <w:r>
        <w:rPr>
          <w:rFonts w:hint="eastAsia" w:ascii="仿宋_GB2312" w:hAnsi="仿宋_GB2312" w:eastAsia="仿宋_GB2312" w:cs="仿宋_GB2312"/>
          <w:color w:val="333333"/>
          <w:sz w:val="32"/>
          <w:szCs w:val="32"/>
          <w:shd w:val="clear" w:color="auto" w:fill="FFFFFF"/>
          <w:lang w:val="en-US" w:eastAsia="zh-CN"/>
        </w:rPr>
        <w:t>1</w:t>
      </w:r>
      <w:r>
        <w:rPr>
          <w:rFonts w:hint="default" w:ascii="仿宋_GB2312" w:hAnsi="仿宋_GB2312" w:eastAsia="仿宋_GB2312" w:cs="仿宋_GB2312"/>
          <w:color w:val="333333"/>
          <w:sz w:val="32"/>
          <w:szCs w:val="32"/>
          <w:shd w:val="clear" w:color="auto" w:fill="FFFFFF"/>
          <w:lang w:val="en-US" w:eastAsia="zh-CN"/>
        </w:rPr>
        <w:t>月</w:t>
      </w:r>
      <w:r>
        <w:rPr>
          <w:rFonts w:hint="eastAsia" w:ascii="仿宋_GB2312" w:hAnsi="仿宋_GB2312" w:eastAsia="仿宋_GB2312" w:cs="仿宋_GB2312"/>
          <w:color w:val="333333"/>
          <w:sz w:val="32"/>
          <w:szCs w:val="32"/>
          <w:shd w:val="clear" w:color="auto" w:fill="FFFFFF"/>
          <w:lang w:val="en-US" w:eastAsia="zh-CN"/>
        </w:rPr>
        <w:t>10</w:t>
      </w:r>
      <w:r>
        <w:rPr>
          <w:rFonts w:hint="default" w:ascii="仿宋_GB2312" w:hAnsi="仿宋_GB2312" w:eastAsia="仿宋_GB2312" w:cs="仿宋_GB2312"/>
          <w:color w:val="333333"/>
          <w:sz w:val="32"/>
          <w:szCs w:val="32"/>
          <w:shd w:val="clear" w:color="auto" w:fill="FFFFFF"/>
          <w:lang w:val="en-US" w:eastAsia="zh-CN"/>
        </w:rPr>
        <w:t>日</w:t>
      </w:r>
    </w:p>
    <w:p>
      <w:pPr>
        <w:keepNext w:val="0"/>
        <w:keepLines w:val="0"/>
        <w:pageBreakBefore w:val="0"/>
        <w:widowControl w:val="0"/>
        <w:kinsoku/>
        <w:wordWrap/>
        <w:overflowPunct/>
        <w:topLinePunct w:val="0"/>
        <w:autoSpaceDN/>
        <w:bidi w:val="0"/>
        <w:snapToGrid/>
        <w:spacing w:line="240" w:lineRule="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N/>
        <w:bidi w:val="0"/>
        <w:snapToGrid/>
        <w:spacing w:line="240" w:lineRule="auto"/>
        <w:jc w:val="center"/>
        <w:rPr>
          <w:rFonts w:hint="eastAsia" w:asciiTheme="minorEastAsia" w:hAnsiTheme="minorEastAsia" w:eastAsiaTheme="minorEastAsia" w:cstheme="minorEastAsia"/>
          <w:color w:val="000000"/>
          <w:kern w:val="0"/>
          <w:sz w:val="44"/>
          <w:szCs w:val="44"/>
          <w:lang w:eastAsia="zh-CN" w:bidi="ar"/>
        </w:rPr>
      </w:pPr>
      <w:r>
        <w:rPr>
          <w:rFonts w:hint="eastAsia" w:asciiTheme="minorEastAsia" w:hAnsiTheme="minorEastAsia" w:eastAsiaTheme="minorEastAsia" w:cstheme="minorEastAsia"/>
          <w:color w:val="000000"/>
          <w:kern w:val="0"/>
          <w:sz w:val="44"/>
          <w:szCs w:val="44"/>
          <w:lang w:eastAsia="zh-CN" w:bidi="ar"/>
        </w:rPr>
        <w:t>国家</w:t>
      </w:r>
      <w:r>
        <w:rPr>
          <w:rFonts w:hint="eastAsia" w:asciiTheme="minorEastAsia" w:hAnsiTheme="minorEastAsia" w:eastAsiaTheme="minorEastAsia" w:cstheme="minorEastAsia"/>
          <w:color w:val="000000"/>
          <w:kern w:val="0"/>
          <w:sz w:val="44"/>
          <w:szCs w:val="44"/>
          <w:lang w:bidi="ar"/>
        </w:rPr>
        <w:t>以工代赈</w:t>
      </w:r>
      <w:r>
        <w:rPr>
          <w:rFonts w:hint="eastAsia" w:asciiTheme="minorEastAsia" w:hAnsiTheme="minorEastAsia" w:eastAsiaTheme="minorEastAsia" w:cstheme="minorEastAsia"/>
          <w:color w:val="000000"/>
          <w:kern w:val="0"/>
          <w:sz w:val="44"/>
          <w:szCs w:val="44"/>
          <w:lang w:eastAsia="zh-CN" w:bidi="ar"/>
        </w:rPr>
        <w:t>管理办法</w:t>
      </w:r>
    </w:p>
    <w:p>
      <w:pPr>
        <w:keepNext w:val="0"/>
        <w:keepLines w:val="0"/>
        <w:pageBreakBefore w:val="0"/>
        <w:widowControl w:val="0"/>
        <w:kinsoku/>
        <w:wordWrap/>
        <w:overflowPunct/>
        <w:topLinePunct w:val="0"/>
        <w:autoSpaceDN/>
        <w:bidi w:val="0"/>
        <w:snapToGrid/>
        <w:spacing w:line="240" w:lineRule="auto"/>
        <w:rPr>
          <w:rFonts w:hint="eastAsia" w:ascii="仿宋_GB2312" w:hAnsi="仿宋_GB2312" w:eastAsia="仿宋_GB2312" w:cs="仿宋_GB2312"/>
          <w:color w:val="000000"/>
          <w:kern w:val="0"/>
          <w:sz w:val="32"/>
          <w:szCs w:val="32"/>
          <w:lang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center"/>
        <w:outlineLvl w:val="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eastAsia="zh-CN" w:bidi="ar"/>
        </w:rPr>
        <w:t>第一章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总</w:t>
      </w:r>
      <w:r>
        <w:rPr>
          <w:rFonts w:hint="eastAsia" w:ascii="黑体" w:hAnsi="黑体" w:eastAsia="黑体" w:cs="黑体"/>
          <w:color w:val="333333"/>
          <w:sz w:val="32"/>
          <w:szCs w:val="32"/>
          <w:shd w:val="clear" w:color="auto" w:fill="FFFFFF"/>
          <w:lang w:val="en-US" w:eastAsia="zh-CN"/>
        </w:rPr>
        <w:t>　</w:t>
      </w:r>
      <w:r>
        <w:rPr>
          <w:rFonts w:hint="eastAsia" w:ascii="黑体" w:hAnsi="黑体" w:eastAsia="黑体" w:cs="黑体"/>
          <w:color w:val="000000"/>
          <w:kern w:val="0"/>
          <w:sz w:val="32"/>
          <w:szCs w:val="32"/>
          <w:lang w:bidi="ar"/>
        </w:rPr>
        <w:t>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center"/>
        <w:outlineLvl w:val="0"/>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楷体_GB2312" w:hAnsi="楷体_GB2312" w:eastAsia="楷体_GB2312" w:cs="楷体_GB2312"/>
          <w:color w:val="333333"/>
          <w:sz w:val="32"/>
          <w:szCs w:val="32"/>
          <w:shd w:val="clear" w:color="auto" w:fill="FFFFFF"/>
          <w:lang w:val="en-US" w:eastAsia="zh-CN"/>
        </w:rPr>
        <w:t>　</w:t>
      </w:r>
      <w:r>
        <w:rPr>
          <w:rFonts w:hint="eastAsia" w:ascii="仿宋_GB2312" w:hAnsi="仿宋_GB2312" w:eastAsia="仿宋_GB2312" w:cs="仿宋_GB2312"/>
          <w:sz w:val="32"/>
          <w:szCs w:val="32"/>
          <w:lang w:val="en-US" w:eastAsia="zh-CN"/>
        </w:rPr>
        <w:t>为充分发挥以工代赈政策作用，进一步规范和加强新形势下以工代赈管理，确保“赈”出实效，根据《中共中央 国务院关于实现巩固拓展脱贫攻坚成果同乡村振兴有效衔接的意见》《国务院办公厅转发国家发展改革委关于在重点工程项目中大力实施以工代赈促进当地群众就业增收工作方案的通知》《关于在农业农村基础设施建设领域积极推广以工代赈方式的意见》等文件精神和《政府投资条例》等有关规定，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黑体" w:hAnsi="黑体" w:eastAsia="黑体" w:cs="黑体"/>
          <w:color w:val="333333"/>
          <w:sz w:val="32"/>
          <w:szCs w:val="32"/>
          <w:shd w:val="clear" w:color="auto" w:fill="FFFFFF"/>
          <w:lang w:val="en-US" w:eastAsia="zh-CN"/>
        </w:rPr>
        <w:t>　</w:t>
      </w:r>
      <w:r>
        <w:rPr>
          <w:rFonts w:hint="eastAsia" w:ascii="仿宋_GB2312" w:hAnsi="仿宋_GB2312" w:eastAsia="仿宋_GB2312" w:cs="仿宋_GB2312"/>
          <w:sz w:val="32"/>
          <w:szCs w:val="32"/>
          <w:lang w:val="en-US" w:eastAsia="zh-CN"/>
        </w:rPr>
        <w:t>本办法所称以工代赈是指政府投资建设基础设施工程，受赈济者参加工程建设获得劳务报酬，以此取代直接赈济的一项扶持政策。现阶段，以工代赈主要包括使用以工代赈专项资金实施以工代赈项目、在农业农村基础设施建设领域中推广以工代赈方式、在政府投资的重点工程项目中实施以工代赈等，主要目的是向参与工程建设的群众发放劳务报酬、开展技能培训，促进其就地就近就业增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黑体" w:hAnsi="黑体" w:eastAsia="黑体" w:cs="黑体"/>
          <w:color w:val="333333"/>
          <w:sz w:val="32"/>
          <w:szCs w:val="32"/>
          <w:shd w:val="clear" w:color="auto" w:fill="FFFFFF"/>
          <w:lang w:val="en-US" w:eastAsia="zh-CN"/>
        </w:rPr>
        <w:t>　</w:t>
      </w:r>
      <w:r>
        <w:rPr>
          <w:rFonts w:hint="eastAsia" w:ascii="仿宋_GB2312" w:hAnsi="仿宋_GB2312" w:eastAsia="仿宋_GB2312" w:cs="仿宋_GB2312"/>
          <w:sz w:val="32"/>
          <w:szCs w:val="32"/>
          <w:lang w:val="en-US" w:eastAsia="zh-CN"/>
        </w:rPr>
        <w:t>实施以工代赈应坚守“赈”的初心，坚持扶志扶智、多劳多得、勤劳致富，鼓励引导群众通过诚实劳动实现增收致富、提高素质技能，加强困难群体就业兜底帮扶，努力增加低收入者收入，促进共同富裕，坚决防止出现“重建设、轻赈济”现象，严禁滥用以工代赈政策侵犯劳动者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黑体" w:hAnsi="黑体" w:eastAsia="黑体" w:cs="黑体"/>
          <w:color w:val="333333"/>
          <w:sz w:val="32"/>
          <w:szCs w:val="32"/>
          <w:shd w:val="clear" w:color="auto" w:fill="FFFFFF"/>
          <w:lang w:val="en-US" w:eastAsia="zh-CN"/>
        </w:rPr>
        <w:t>　</w:t>
      </w:r>
      <w:r>
        <w:rPr>
          <w:rFonts w:hint="eastAsia" w:ascii="仿宋_GB2312" w:hAnsi="仿宋_GB2312" w:eastAsia="仿宋_GB2312" w:cs="仿宋_GB2312"/>
          <w:sz w:val="32"/>
          <w:szCs w:val="32"/>
          <w:lang w:val="en-US" w:eastAsia="zh-CN"/>
        </w:rPr>
        <w:t>各级发展改革（以工代赈，下同）部门是以工代赈的行政主管部门，承担以工代赈工作的综合协调和具体管理职责，会同相关部门在农业农村基础设施建设和政府投资的重点工程项目中组织实施以工代赈。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以工代赈工作纳入国家和地方国民经济社会发展年度计划，按照“中央统筹、省负总责、市县乡抓落实”的管理体制，层层压实工作责任。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黑体" w:hAnsi="黑体" w:eastAsia="黑体" w:cs="黑体"/>
          <w:color w:val="333333"/>
          <w:sz w:val="32"/>
          <w:szCs w:val="32"/>
          <w:shd w:val="clear" w:color="auto" w:fill="FFFFFF"/>
          <w:lang w:val="en-US" w:eastAsia="zh-CN"/>
        </w:rPr>
        <w:t>　</w:t>
      </w:r>
      <w:r>
        <w:rPr>
          <w:rFonts w:hint="eastAsia" w:ascii="仿宋_GB2312" w:hAnsi="仿宋_GB2312" w:eastAsia="仿宋_GB2312" w:cs="仿宋_GB2312"/>
          <w:sz w:val="32"/>
          <w:szCs w:val="32"/>
          <w:lang w:val="en-US" w:eastAsia="zh-CN"/>
        </w:rPr>
        <w:t>各级发展改革部门应</w:t>
      </w:r>
      <w:r>
        <w:rPr>
          <w:rFonts w:hint="default" w:ascii="仿宋_GB2312" w:hAnsi="仿宋_GB2312" w:eastAsia="仿宋_GB2312" w:cs="仿宋_GB2312"/>
          <w:sz w:val="32"/>
          <w:szCs w:val="32"/>
          <w:lang w:val="en-US" w:eastAsia="zh-CN"/>
        </w:rPr>
        <w:t>加强对以工代赈工作的组织领导，</w:t>
      </w:r>
      <w:r>
        <w:rPr>
          <w:rFonts w:hint="eastAsia" w:ascii="仿宋_GB2312" w:hAnsi="仿宋_GB2312" w:eastAsia="仿宋_GB2312" w:cs="仿宋_GB2312"/>
          <w:sz w:val="32"/>
          <w:szCs w:val="32"/>
          <w:lang w:val="en-US" w:eastAsia="zh-CN"/>
        </w:rPr>
        <w:t>强化以工代赈工作人员队伍</w:t>
      </w:r>
      <w:r>
        <w:rPr>
          <w:rFonts w:hint="default"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val="en-US" w:eastAsia="zh-CN"/>
        </w:rPr>
        <w:t>会同相关部门建立沟通协调机制，加强部门协同配合。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黑体" w:hAnsi="黑体" w:eastAsia="黑体" w:cs="黑体"/>
          <w:color w:val="333333"/>
          <w:sz w:val="32"/>
          <w:szCs w:val="32"/>
          <w:shd w:val="clear" w:color="auto" w:fill="FFFFFF"/>
          <w:lang w:val="en-US" w:eastAsia="zh-CN"/>
        </w:rPr>
        <w:t>　</w:t>
      </w:r>
      <w:r>
        <w:rPr>
          <w:rFonts w:hint="eastAsia" w:ascii="仿宋_GB2312" w:hAnsi="仿宋_GB2312" w:eastAsia="仿宋_GB2312" w:cs="仿宋_GB2312"/>
          <w:sz w:val="32"/>
          <w:szCs w:val="32"/>
          <w:lang w:val="en-US" w:eastAsia="zh-CN"/>
        </w:rPr>
        <w:t>各级发展改革部门应会同相关部门建立健全以工代赈激励机制，加强典型宣传推介。对以工代赈工作积极主动、成效明显的地方和单位给予激励表扬，并在以工代赈专项投资安排中予以倾斜支持。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黑体" w:hAnsi="黑体" w:eastAsia="黑体" w:cs="黑体"/>
          <w:color w:val="333333"/>
          <w:sz w:val="32"/>
          <w:szCs w:val="32"/>
          <w:shd w:val="clear" w:color="auto" w:fill="FFFFFF"/>
          <w:lang w:val="en-US" w:eastAsia="zh-CN"/>
        </w:rPr>
        <w:t>　</w:t>
      </w:r>
      <w:r>
        <w:rPr>
          <w:rFonts w:hint="eastAsia" w:ascii="仿宋_GB2312" w:hAnsi="仿宋_GB2312" w:eastAsia="仿宋_GB2312" w:cs="仿宋_GB2312"/>
          <w:sz w:val="32"/>
          <w:szCs w:val="32"/>
          <w:lang w:val="en-US" w:eastAsia="zh-CN"/>
        </w:rPr>
        <w:t>地方发展改革部门</w:t>
      </w:r>
      <w:r>
        <w:rPr>
          <w:rFonts w:hint="default"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lang w:val="en-US" w:eastAsia="zh-CN"/>
        </w:rPr>
        <w:t>根据国家及地方国民经济和社会发展五年规划，结合本地实际，同步编制实施以工代赈领域五年规划或相关工作方案。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以工代赈计划管理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以工代赈计划是指使用国家以工代赈专项资金组织实施的专门计划，包括以工代赈中央预算内投资计划、中央财政衔接推进乡村振兴补助资金以工代赈任务计划，可分年度或分专项安排。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以工代赈计划的基本内容包括投资规模及构成、建设内容、工作任务和政策要求等。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国家发展改革委负责研究提出以工代赈计划工作总体要求，组织有关省级发展改革部门编制建议计划草案。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省级发展改革部门负责审核下级发展改革部门编报的年度以工代赈建议计划，汇总编制本省年度以工代赈建议计划草案，及时报送国家发展改革委汇总。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建议计划草案应明确项目类别、项目名称、建设内容及规模、建设工期、项目总投资及资金来源、绩效目标等。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国家发展改革委按照党中央、国务院部署要求，根据地方经济社会发展、自然条件和受灾、相关人口规模和收入、计划安排和执行、劳务报酬发放等情况和工作成效评价及其他政策因素等，结合年度工作重点和地方建议计划草案，编制下达国家以工代赈计划，以切块或打捆方式下达分省规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省级发展改革部门应自收到国家年度以工代赈计划之日起20个工作日内，将本省年度以工代赈计划分解下达到项目。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分解下达以工代赈计划应按项目明确资金安排方式。政府投资资金安排的非经营性项目，应采取直接投资方式。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以工代赈计划下达后，严禁未经批准擅自变更建设内容和建设规模。确需调整的，应由项目审批部门按程序审批，并按规定履行备案程序。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地方各级发展改革部门应建立健全以工代赈计划执行监测机制，实行定期调度、动态监测。省级发展改革部门应跟踪掌握本省以工代赈计划执行情况，及时上报国家发展改革委。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以工代赈专项资金管理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国家以工代赈专项资金包括以工代赈中央预算内投资、中央财政衔接推进乡村振兴补助资金以工代赈任务方向（以下简称“中央财政以工代赈任务资金”）。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各地结合当地实际，积极将以工代赈投入纳入本级财政预算，安排本级以工代赈专项资金。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以工代赈中央预算内投资按照《中央预算内直接投资项目管理办法》（国家发展改革委2014年第7号令）、《中央预算内投资补助和贴息项目管理办法》（国家发展改革委2016年第45号令）等有关规定管理。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中央财政以工代赈任务资金按照《中央财政衔接推进乡村振兴补助资金管理办法》（财农〔2021〕19号）等有关规定管理。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地方各级发展改革部门应会同财政、乡村振兴等部门和单位，结合本地实际建立健全专项资金管理制度。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以工代赈专项资金主要投向欠发达地区，并向原深度贫困地区、国家乡村振兴重点帮扶县、革命老区、易地扶贫搬迁后续扶持任务较重地区以及受自然灾害影响较大地区倾斜。对其他有关地区的以工代赈专项资金投入，按照国家有关政策要求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以工代赈专项资金重点支持公益性基础设施和产业发展配套基础设施建设，以及根据国家要求安排的其他工程建设。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公益性基础设施主要包括农村生活、交通、水利等基础设施、林业草原和城乡易地扶贫搬迁安置点配套公益性基础设施等。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产业发展配套基础设施主要包括农牧产业、乡村文化旅游产业、林业草原产业等基础设施和城乡易地扶贫搬迁安置点后续产业基础设施等。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以工代赈中央预算内投资主要用于实施一批中小型基础设施建设项目，推广“公益性基础设施建设+劳务报酬发放+就业技能培训+公益性管护岗位开发”和“产业发展配套基础设施建设+劳务报酬发放+就业技能培训+资产折股量化分红”等综合赈济模式，进一步提高劳务报酬发放比例，形成示范带动效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中央财政以工代赈任务资金主要用于统筹支持巩固拓展脱贫攻坚成果、全面推进乡村振兴，实施一批小型基础设施建设项目并发放劳务报酬，与财政衔接推进乡村振兴补助资金其他任务形成合力。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国家以工代赈专项资金应当用于新开工或续建项目，不得用于已完工项目。下达以工代赈专项资金时应与其他有关专项资金做好衔接，严禁重复安排。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以工代赈项目的具体补助标准可参照国家相关支持标准，由各省根据不同类型项目自行确定。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国家以工代赈专项资金在满足项目建设需求的过程中，应重点用于发放参与项目建设劳动者的劳务报酬。不得用于下列支出：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（一）单位基本支出；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（二）交通工具及通讯设备；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（三）发放奖金津贴和福利补助；</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（四）偿还债务和垫资；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（五）购买大中型机械设备等资产；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（六）购买花草树木、种苗仔畜、饲料、化肥等生产性物资；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（七）其他与以工代赈项目无关的支出事项。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以工代赈项目实施中的就业技能培训、公益性管护岗位开发等工作任务，由地方政府统筹相关财政资金及社会帮扶资金、企业投资等予以支持。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县级发展改革部门应指导项目业主单位，充分评估论证财政承受能力和资金筹措方案，防范地方政府债务风险。各地可统筹符合规定的其它渠道资金、引导社会资金用于以工代赈项目建设，对于带动其他渠道资金较多的以工代赈项目予以优先支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各级发展改革部门应协调和配合相关专项资金管理部门按照以工代赈计划拨付资金，加强全过程绩效管理，严格资金拨付程序，确保资金安全、及时、准确、规范使用。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以工代赈项目管理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以工代赈项目是指使用以工代赈专项资金实施的基础设施建设工程。地方发展改革部门应深刻把握“项目建设是平台载体、就业增收是根本目标”的政策内涵，始终把解决群众就业增收问题作为以工代赈工作的出发点和落脚点，依据以工代赈规划计划建立项目库，将能够充分发挥“赈”的作用的建设工程纳入项目库，加强项目滚动储备和前期工作审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以工代赈项目按照基本建设程序管理。国家有特殊要求的项目由省级发展改革部门报国家发展改革委审批，其他项目由地方各级审批部门依据审批权限履行项目审批手续。各级审批部门按照“谁审批、谁负责”原则，对项目的审批管理和合规性负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地方各级发展改革部门应会同有关部门建立以工代赈储备项目的前期工作审查机制，按照“省负总责，省、市、县分级把关”的原则，可选择集中审查、委托第三方评估等方式，严格审查储备申报项目的前期要件和项目用工需求、劳务报酬发放可行性、资金投向合规情况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列入以工代赈建议计划的项目，原则上应在以工代赈项目库中选择，并优先支持发放劳务报酬比例高、带动当地群众特别是脱贫群众务工人数多、当地政府组织群众务工能力强、综合赈济效果好的项目。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以工代赈项目业主单位一般为乡镇人民政府和村民委员会、农村集体经济组织等。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民委员会、农村集体经济组织作为项目业主单位的，应尽可能采取村民自建方式实施，切实保障村民知情权、参与权、监督权。鼓励和支持村集体经济组织通过组建村民理事会、劳务合作社、施工队等方式，自主开展以工代赈项目建设和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按照招标投标法和村庄建设项目施行简易审批的有关规定要求，以工代赈项目可以不进行招标，任何单位和个人不得强制要求招标，不得另行制定必须招标的范围和规模标准。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符合村庄建设项目施行简易审批相关要求的，各地应优化可行性研究报告等审批，简化用地、环评、乡村规划许可、施工许可等审批手续。</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以工代赈项目应按照相关工程标准进行设计、施工，明确工程责任单位和责任人，确保施工安全和工程质量符合相关要求。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县级发展改革部门应指导以工代赈项目业主单位、施工单位，按照“能用人工尽量不用机械，能组织当地群众务工尽量不用专业施工队伍”的要求，组织项目所在县域内农村劳动力、城镇低收入人口和就业困难群体等参加工程建设，并优先吸纳脱贫人口、防止返贫监测对象、因灾需救助人口、易地扶贫搬迁群众和受自然灾害等不可抗力影响无法外出务工劳动力等群体。</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县级发展改革部门应督促指导项目业主单位，结合编制项目可行性研究报告或实施方案，明确务工组织领导、管理、监督等工作任务，细化实化以工代赈务工岗位、数量及务工时间、劳务报酬、岗前技能培训等内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业主单位应与项目所在乡镇人民政府、村民委员会和施工单位建立劳务沟通协调机制，督促施工单位与务工群众签订劳务合同（协议）。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县级发展改革部门应指导以工代赈项目业主单位、施工单位，严格按照专项计划文件明确的劳务报酬占中央资金比例要求，结合当地群众务工收入水平确定劳务报酬发放标准和规模，做好劳务报酬发放工作，尽最大可能提高以工代赈项目劳务报酬占财政资金的比例。劳务报酬一般通过银行卡发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项目业主单位应公开、足额、及时发放劳务报酬，严禁拖欠、克扣，不得将租赁当地群众机械设备等费用计入劳务报酬。</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县级发展改革部门在项目前期工作环节应指导以工代赈项目业主单位、施工单位，对能否足额发放劳务报酬进行论证，明确劳务报酬发放金额和标准。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以工代赈项目推行信息公示公告制度，主动接受社会监督。项目开工前，业主单位应对项目名称、资金来源及金额、建设地点、建设内容及规模、建设周期等信息予以公示。项目施工期间，业主单位应在施工现场对群众务工信息、劳务报酬发放标准、监督举报电话等内容进行公示。项目建成后，业主单位应在项目点设置永久性公示牌，公示项目建设相关信息和当地群众参与务工、获取劳务报酬等受益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以工代赈项目建成后，县级发展改革部门应会同有关部门组成验收工作组，重点对项目建设质量、群众务工组织、劳务报酬发放、就业技能培训等落实情况开展验收，并对项目发挥“赈”的作用效果进行评价。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县级发展改革部门和相关乡镇人民政府应加强项目档案资料管理。省、市发展改革部门应对项目验收、档案资料管理情况进行抽查检查。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农业农村基础设施建设领域推广以工代赈方式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推广以工代赈方式的农业农村基础设施建设领域，主要包括投资规模较小、技术方案相对简单、用工技能要求不高的农村生产生活基础设施，农村小型交通、水利、文化旅游和林业草原等基础设施建设。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适宜在农业农村基础设施建设领域推广以工代赈方式的省份，省级发展改革部门应会同相关部门建立健全省级推广以工代赈方式项目储备库（或清单，下同），按年度滚动管理。对于农业农村基础设施项目，在不影响项目建设进度和施工质量等前提下，应尽可能纳入项目储备库，采取以工代赈方式实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县级发展改革部门应牵头统筹协调县域范围内农业农村基础设施建设领域推广以工代赈方式工作，结合实际制定工作流程、管理细则和考核办法，建立县级推广以工代赈方式项目储备库，规范项目组织实施和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县级发展改革部门会同相关部门负责农业农村基础设施建设领域推广以工代赈方式项目的认定工作，提请县级人民政府审定后，纳入县级推广以工代赈方式项目储备库管理，符合条件的项目可通过安排以工代赈专项资金予以支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按照招标投标法和村庄建设项目施行简易审批的有关规定要求，农业农村基础设施建设领域推广以工代赈方式项目可以不进行招标。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经认定为推广以工代赈方式的项目，应严格落实组织群众务工、开展就业技能培训等以工代赈政策要求，及时足额向当地农村群众发放劳务报酬，尽量提高项目资金中劳务报酬发放比例。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第六章 重点工程项目实施以工代赈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适用以工代赈的重点工程项目建设领域，包括政府投资的交通、水利、能源、农业农村、城镇建设、生态环境、灾后恢复重建等。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各地在谋划实施政府投资的重点工程项目时，应在确保工程质量安全和符合进度要求等前提下，按照“应用尽用、能用尽用”的原则，结合当地群众务工需求，挖掘主体工程建设及附属临建、工地服务保障、建后管护等方面用工潜力，尽可能通过实施以工代赈帮助当地群众就近务工实现就业增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鼓励非政府投资的重点工程项目采取以工代赈方式扩大就业容量。引导民营企业、社会组织等各类社会力量采取以工代赈方式组织实施公益性帮扶项目。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国家发展改革委会同相关部门，结合各相关领域重点工程项目中能够实施以工代赈的建设任务和用工环节指导目录，分年度明确国家层面适用以工代赈的重点工程项目清单。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地方各级发展改革部门按照“分级负责、分领域推进”的原则，会同相关部门分年度明确本级适用以工代赈的重点工程项目清单。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县级发展改革部门应牵头协调县域范围内重点工程项目实施以工代赈工作，规范以工代赈务工人员组织、劳动技能培训和安全生产培训、劳务报酬发放监管等具体工作管理。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实施以工代赈的重点工程项目可行性研究报告或资金申请报告、初步设计报告或施工图设计文件、批复文件等，应明确适用以工代赈的建设内容和用工环节等政策要求。项目相关招标投标、签订劳务合同过程中应明确当地群众用工和劳务报酬发放要求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实施以工代赈的重点工程项目所在地应建立劳务沟通协调机制，以县域为主组织动员当地农村劳动力、城镇低收入人口和就业困难群体等参与务工，抓好以工代赈务工人员组织、劳动技能和安全生产培训、劳务报酬发放监管等具体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实施以工代赈的重点工程项目所在地应统筹各类符合条件的培训资金和资源，充分利用项目施工场地、机械设备等，采取“培训+上岗”等方式，联合施工单位开展劳动技能培训和安全生产培训。</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鼓励实施以工代赈的重点工程项目业主单位、施工单位尽量扩充以工代赈就业岗位，及时向项目所在地县级人民政府相关部门告知用工需求和用工计划，合理确定以工代赈劳务报酬标准，尽可能增加劳务报酬规模，按程序及时足额发放到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东部省份在广泛组织动员当地群众参与重点工程项目建设的同时，可结合本地区经济发展水平、当地群众务工需求等情况，大力吸纳中西部省份外出务工人员参与工程建设。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第七章 监督检查与法律责任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国家发展改革委会同相关部门建立健全以工代赈工作监督检查和成效综合评价机制，对以工代赈专项资金和项目管理、在农业农村基础设施建设领域推广以工代赈方式和重点工程项目中实施以工代赈工作情况开展监督检查和成效评价，及时发现并推动解决以工代赈政策执行中的问题和偏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省级发展改革部门应对市县以工代赈工作开展常态化跟踪督促和年度成效综合评价，配合审计、财政等部门做好以工代赈专项资金和项目督促检查和审计工作。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对发现问题突出或评价结果较差的市县，省级发展改革部门应及时予以通报或约谈，提出整改要求，酌情调减或暂停其以工代赈专项资金安排。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对由于各省在以工代赈项目资金申请前期审核不严而造成较大损失的，国家发展改革委可视情节在一定时期和范围内不再受理其报送的以工代赈计划草案。对地方擅自变更建设内容、建设规模的，劳务报酬弄虚作假，以及在投资计划执行和项目实施中出现重大问题的，国家发展改革委可酌情减少或暂停其以工代赈专项资金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在编报下达以工代赈计划工作中，有滥用职权、玩忽职守、徇私舞弊、索贿受贿以及违反规定原则、程序下达投资计划或安排项目等行为的，责令限期改正，并视具体情况追究有关责任人的行政责任；构成犯罪的，由司法机关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在以工代赈专项资金和项目管理过程中，出现重大问题或达不到预期效益的，对相关责任部门予以通报批评，并酌情调减当地下一年度以工代赈投资规模。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拖欠、截留、挪用、挤占、骗取、贪污以工代赈投入的，以及存在群众务工组织弄虚作假、劳务报酬虚报冒领等行为的，责令限期归还、如数追缴，并转请有关部门依法依规依纪从严处置；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w:t>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本办法由国家发展改革委负责解释。省级发展改革部门可根据工作需要制定或修订本省以工代赈管理实施细则，并报国家发展改革委备案。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本办法自2023年3月1日起施行。国家发展改革委2014年12月29日印发的《国家以</w:t>
      </w:r>
      <w:bookmarkStart w:id="0" w:name="_GoBack"/>
      <w:bookmarkEnd w:id="0"/>
      <w:r>
        <w:rPr>
          <w:rFonts w:hint="eastAsia" w:ascii="仿宋_GB2312" w:hAnsi="仿宋_GB2312" w:eastAsia="仿宋_GB2312" w:cs="仿宋_GB2312"/>
          <w:sz w:val="32"/>
          <w:szCs w:val="32"/>
          <w:lang w:val="en-US" w:eastAsia="zh-CN"/>
        </w:rPr>
        <w:t>工代赈管理办法》同时废止。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楷体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宋体"/>
        <w:sz w:val="32"/>
        <w:szCs w:val="48"/>
        <w:lang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p>
    <w:pPr>
      <w:pStyle w:val="7"/>
      <w:wordWrap w:val="0"/>
      <w:ind w:left="4788" w:leftChars="2280" w:right="640"/>
      <w:rPr>
        <w:rFonts w:hint="eastAsia" w:eastAsia="仿宋"/>
        <w:color w:val="FAFAFA"/>
        <w:sz w:val="32"/>
        <w:szCs w:val="48"/>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p>
  <w:p>
    <w:pPr>
      <w:pStyle w:val="7"/>
      <w:jc w:val="right"/>
      <w:rPr>
        <w:rFonts w:ascii="宋体" w:hAnsi="宋体" w:cs="宋体"/>
        <w:b/>
        <w:bCs/>
        <w:color w:val="005192"/>
        <w:sz w:val="28"/>
        <w:szCs w:val="44"/>
      </w:rPr>
    </w:pPr>
    <w:r>
      <w:rPr>
        <w:rFonts w:hint="eastAsia" w:ascii="宋体" w:hAnsi="宋体" w:cs="宋体"/>
        <w:b/>
        <w:bCs/>
        <w:color w:val="005192"/>
        <w:sz w:val="28"/>
        <w:szCs w:val="44"/>
      </w:rPr>
      <w:t>中华人民共和国国家发展和改革委员会发布</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中华人民共和国国家发展和改革委员会规章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NzcxYTM1NmY3MDg2NTY2OGU1ZjAxZTY1OTYxOTAifQ=="/>
  </w:docVars>
  <w:rsids>
    <w:rsidRoot w:val="00172A27"/>
    <w:rsid w:val="00DE32BE"/>
    <w:rsid w:val="00E26089"/>
    <w:rsid w:val="00EC57B4"/>
    <w:rsid w:val="03B91E6C"/>
    <w:rsid w:val="04E57C5A"/>
    <w:rsid w:val="05DA1A28"/>
    <w:rsid w:val="0B410129"/>
    <w:rsid w:val="13274A0D"/>
    <w:rsid w:val="16A43FEB"/>
    <w:rsid w:val="173D1CBD"/>
    <w:rsid w:val="1B573F69"/>
    <w:rsid w:val="1D4E5E11"/>
    <w:rsid w:val="1DA03B30"/>
    <w:rsid w:val="1E0A4366"/>
    <w:rsid w:val="23B42AC3"/>
    <w:rsid w:val="289470BB"/>
    <w:rsid w:val="2D302395"/>
    <w:rsid w:val="2DBC0E27"/>
    <w:rsid w:val="3A0905E6"/>
    <w:rsid w:val="46FC0D56"/>
    <w:rsid w:val="4F0C2EA3"/>
    <w:rsid w:val="50912600"/>
    <w:rsid w:val="5B47386C"/>
    <w:rsid w:val="61A86E6A"/>
    <w:rsid w:val="64691797"/>
    <w:rsid w:val="6D0347D2"/>
    <w:rsid w:val="732C4364"/>
    <w:rsid w:val="745B7D6C"/>
    <w:rsid w:val="78307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outlineLvl w:val="1"/>
    </w:pPr>
    <w:rPr>
      <w:rFonts w:ascii="Cambria" w:hAnsi="Cambria" w:eastAsia="方正楷体_GBK"/>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annotation text"/>
    <w:basedOn w:val="1"/>
    <w:qFormat/>
    <w:uiPriority w:val="0"/>
    <w:pPr>
      <w:jc w:val="left"/>
    </w:p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customStyle="1" w:styleId="12">
    <w:name w:val="批注框文本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3550</Words>
  <Characters>3579</Characters>
  <Lines>5</Lines>
  <Paragraphs>1</Paragraphs>
  <TotalTime>5</TotalTime>
  <ScaleCrop>false</ScaleCrop>
  <LinksUpToDate>false</LinksUpToDate>
  <CharactersWithSpaces>3628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2021-11-15T05:40:00Z</dcterms:created>
  <dc:creator>Administrator</dc:creator>
  <cp:lastModifiedBy>愿得一人心</cp:lastModifiedBy>
  <dcterms:modified xsi:type="dcterms:W3CDTF">2023-01-19T01:57:24Z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239C91B74ABC48E6917DB43917406956</vt:lpwstr>
  </property>
</Properties>
</file>